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36DB6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sz w:val="24"/>
          <w:lang w:val="en-US"/>
        </w:rPr>
      </w:pPr>
      <w:r>
        <w:rPr>
          <w:rFonts w:ascii="Belgium" w:hAnsi="Belgium"/>
          <w:sz w:val="24"/>
          <w:lang w:val="en-US"/>
        </w:rPr>
        <w:t>Excel-sheet „Berech_DIN“</w:t>
      </w:r>
    </w:p>
    <w:p w14:paraId="5A14D9EC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sz w:val="24"/>
        </w:rPr>
      </w:pPr>
      <w:r>
        <w:rPr>
          <w:rFonts w:ascii="Belgium" w:hAnsi="Belgium"/>
          <w:sz w:val="24"/>
        </w:rPr>
        <w:t>Berechnung des vorzuhaltenden baul. StrlSch eines Afterloading-Raumes</w:t>
      </w:r>
    </w:p>
    <w:p w14:paraId="6CF927D8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b/>
          <w:bCs/>
          <w:sz w:val="48"/>
        </w:rPr>
      </w:pPr>
      <w:r>
        <w:rPr>
          <w:b/>
          <w:bCs/>
          <w:sz w:val="48"/>
        </w:rPr>
        <w:t>Legende</w:t>
      </w:r>
    </w:p>
    <w:p w14:paraId="2D7A8600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b/>
          <w:bCs/>
          <w:sz w:val="44"/>
        </w:rPr>
      </w:pPr>
    </w:p>
    <w:p w14:paraId="507383A4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b/>
          <w:bCs/>
          <w:sz w:val="28"/>
        </w:rPr>
      </w:pPr>
    </w:p>
    <w:p w14:paraId="7A8E1C04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b/>
          <w:bCs/>
          <w:u w:val="single"/>
        </w:rPr>
      </w:pPr>
      <w:r>
        <w:rPr>
          <w:rFonts w:ascii="Belgium" w:hAnsi="Belgium"/>
          <w:b/>
          <w:bCs/>
          <w:u w:val="single"/>
        </w:rPr>
        <w:t>Linke obere Bereich (grün)</w:t>
      </w:r>
    </w:p>
    <w:p w14:paraId="38D5C5CE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b/>
          <w:bCs/>
        </w:rPr>
      </w:pPr>
    </w:p>
    <w:p w14:paraId="7C124F84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b/>
          <w:bCs/>
        </w:rPr>
      </w:pPr>
      <w:r>
        <w:rPr>
          <w:rFonts w:ascii="Belgium" w:hAnsi="Belgium"/>
          <w:b/>
          <w:bCs/>
        </w:rPr>
        <w:t>Quelle:</w:t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sz w:val="18"/>
        </w:rPr>
        <w:t>Nuklid das den Berechnungen zugrunde liegt</w:t>
      </w:r>
    </w:p>
    <w:p w14:paraId="6581796E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b/>
          <w:bCs/>
        </w:rPr>
      </w:pPr>
      <w:r>
        <w:rPr>
          <w:rFonts w:ascii="Belgium" w:hAnsi="Belgium"/>
          <w:b/>
          <w:bCs/>
        </w:rPr>
        <w:t>Aktiv:</w:t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sz w:val="18"/>
        </w:rPr>
        <w:t>Es finden sich drei Spalten</w:t>
      </w:r>
    </w:p>
    <w:p w14:paraId="331C622E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b/>
          <w:bCs/>
        </w:rPr>
      </w:pPr>
      <w:r>
        <w:rPr>
          <w:rFonts w:ascii="Belgium" w:hAnsi="Belgium"/>
          <w:b/>
          <w:bCs/>
        </w:rPr>
        <w:tab/>
      </w:r>
      <w:r>
        <w:rPr>
          <w:rFonts w:ascii="Belgium" w:hAnsi="Belgium"/>
          <w:b/>
          <w:bCs/>
        </w:rPr>
        <w:tab/>
        <w:t>Nominell:</w:t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sz w:val="18"/>
        </w:rPr>
        <w:t>Die nominelle (Bezugs-) Aktivität</w:t>
      </w:r>
    </w:p>
    <w:p w14:paraId="62EF43CB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sz w:val="18"/>
        </w:rPr>
      </w:pPr>
      <w:r>
        <w:rPr>
          <w:rFonts w:ascii="Belgium" w:hAnsi="Belgium"/>
          <w:b/>
          <w:bCs/>
        </w:rPr>
        <w:tab/>
      </w:r>
      <w:r>
        <w:rPr>
          <w:rFonts w:ascii="Belgium" w:hAnsi="Belgium"/>
          <w:b/>
          <w:bCs/>
        </w:rPr>
        <w:tab/>
        <w:t xml:space="preserve">Effektiv: </w:t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sz w:val="18"/>
        </w:rPr>
        <w:t xml:space="preserve">Die über den Zeitraum im Mittel wirksame Aktivität; </w:t>
      </w:r>
    </w:p>
    <w:p w14:paraId="1008AEB9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left="2160" w:firstLine="720"/>
        <w:rPr>
          <w:rFonts w:ascii="Belgium" w:hAnsi="Belgium"/>
          <w:b/>
          <w:bCs/>
        </w:rPr>
      </w:pPr>
      <w:r>
        <w:rPr>
          <w:rFonts w:ascii="Belgium" w:hAnsi="Belgium"/>
          <w:sz w:val="18"/>
        </w:rPr>
        <w:t>ermittelt über den Zeitraum des Quellenwechsels und der HWZ des Nuklides.</w:t>
      </w:r>
    </w:p>
    <w:p w14:paraId="382398DE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b/>
          <w:bCs/>
        </w:rPr>
      </w:pPr>
      <w:r>
        <w:rPr>
          <w:rFonts w:ascii="Belgium" w:hAnsi="Belgium"/>
          <w:b/>
          <w:bCs/>
        </w:rPr>
        <w:tab/>
      </w:r>
      <w:r>
        <w:rPr>
          <w:rFonts w:ascii="Belgium" w:hAnsi="Belgium"/>
          <w:b/>
          <w:bCs/>
        </w:rPr>
        <w:tab/>
        <w:t>Ende:</w:t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sz w:val="18"/>
        </w:rPr>
        <w:t>Aktivität beim Austausch gegen eine neue, frische Aktivität</w:t>
      </w:r>
    </w:p>
    <w:p w14:paraId="48AC5630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b/>
          <w:bCs/>
          <w:sz w:val="18"/>
        </w:rPr>
      </w:pPr>
      <w:r>
        <w:rPr>
          <w:rFonts w:ascii="Belgium" w:hAnsi="Belgium"/>
          <w:b/>
          <w:bCs/>
          <w:sz w:val="18"/>
        </w:rPr>
        <w:tab/>
        <w:t>(darunter steht das Verhältnis der Aktivität zur nominellen Bezugsaktivität)</w:t>
      </w:r>
    </w:p>
    <w:p w14:paraId="16734B9A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sz w:val="18"/>
        </w:rPr>
      </w:pPr>
    </w:p>
    <w:p w14:paraId="60281674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sz w:val="18"/>
        </w:rPr>
      </w:pPr>
      <w:r>
        <w:rPr>
          <w:rFonts w:ascii="Belgium" w:hAnsi="Belgium"/>
          <w:b/>
          <w:bCs/>
        </w:rPr>
        <w:t>Wechsel:</w:t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sz w:val="18"/>
        </w:rPr>
        <w:t>Der Zeitraum in Tagen, der für den Quellenwechsel angegeben ist</w:t>
      </w:r>
    </w:p>
    <w:p w14:paraId="7CF2533A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sz w:val="18"/>
        </w:rPr>
      </w:pPr>
      <w:r>
        <w:rPr>
          <w:rFonts w:ascii="Belgium" w:hAnsi="Belgium"/>
          <w:b/>
          <w:bCs/>
        </w:rPr>
        <w:t>H(10):</w:t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sz w:val="18"/>
        </w:rPr>
        <w:t>Die Dosisleistungskonstante mit der dieses Nuklid gerechnet wurde</w:t>
      </w:r>
    </w:p>
    <w:p w14:paraId="776FD845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b/>
          <w:bCs/>
        </w:rPr>
      </w:pPr>
      <w:r>
        <w:rPr>
          <w:rFonts w:ascii="Belgium" w:hAnsi="Belgium"/>
          <w:b/>
          <w:bCs/>
        </w:rPr>
        <w:t>Lambda:</w:t>
      </w:r>
      <w:r>
        <w:rPr>
          <w:rFonts w:ascii="Belgium" w:hAnsi="Belgium"/>
          <w:b/>
          <w:bCs/>
        </w:rPr>
        <w:tab/>
      </w:r>
      <w:r w:rsidR="00D407D3">
        <w:rPr>
          <w:rFonts w:ascii="Belgium" w:hAnsi="Belgium"/>
          <w:b/>
          <w:bCs/>
        </w:rPr>
        <w:tab/>
      </w:r>
      <w:r>
        <w:rPr>
          <w:rFonts w:ascii="Belgium" w:hAnsi="Belgium"/>
          <w:sz w:val="18"/>
        </w:rPr>
        <w:t>= ln(2) / HWZ</w:t>
      </w:r>
    </w:p>
    <w:p w14:paraId="18C8C72E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b/>
          <w:bCs/>
        </w:rPr>
      </w:pPr>
      <w:r>
        <w:rPr>
          <w:rFonts w:ascii="Belgium" w:hAnsi="Belgium"/>
          <w:b/>
          <w:bCs/>
        </w:rPr>
        <w:t>Kenn-DL:</w:t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sz w:val="18"/>
        </w:rPr>
        <w:t>Die Kenn-Dosisleistung; Dosisleistung der Aktivität ungeschwächt in 1 m Abstand</w:t>
      </w:r>
    </w:p>
    <w:p w14:paraId="698DE9C7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b/>
          <w:bCs/>
        </w:rPr>
      </w:pPr>
      <w:r>
        <w:rPr>
          <w:rFonts w:ascii="Belgium" w:hAnsi="Belgium"/>
          <w:b/>
          <w:bCs/>
        </w:rPr>
        <w:t>W</w:t>
      </w:r>
      <w:r>
        <w:rPr>
          <w:rFonts w:ascii="Belgium" w:hAnsi="Belgium"/>
          <w:b/>
          <w:bCs/>
          <w:vertAlign w:val="subscript"/>
        </w:rPr>
        <w:t>A</w:t>
      </w:r>
      <w:r>
        <w:rPr>
          <w:rFonts w:ascii="Belgium" w:hAnsi="Belgium"/>
          <w:b/>
          <w:bCs/>
        </w:rPr>
        <w:t>:</w:t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sz w:val="18"/>
        </w:rPr>
        <w:t>Die der Berechnung zugrunde gelegte Betriebsbelastung nach DIN 6853-2</w:t>
      </w:r>
    </w:p>
    <w:p w14:paraId="044E6EBC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b/>
          <w:bCs/>
        </w:rPr>
      </w:pPr>
      <w:r>
        <w:rPr>
          <w:rFonts w:ascii="Belgium" w:hAnsi="Belgium"/>
          <w:b/>
          <w:bCs/>
        </w:rPr>
        <w:t>Strahlzeit:</w:t>
      </w:r>
    </w:p>
    <w:p w14:paraId="4FFAC3F0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sz w:val="18"/>
        </w:rPr>
      </w:pPr>
      <w:r>
        <w:rPr>
          <w:rFonts w:ascii="Belgium" w:hAnsi="Belgium"/>
          <w:b/>
          <w:bCs/>
        </w:rPr>
        <w:tab/>
        <w:t>h/Woche:</w:t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sz w:val="18"/>
        </w:rPr>
        <w:t xml:space="preserve">Strahlzeit in der Woche bei der in der gleichen Spalte angegebenen Aktivität; </w:t>
      </w:r>
    </w:p>
    <w:p w14:paraId="623BBD61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left="1440" w:firstLine="720"/>
        <w:rPr>
          <w:rFonts w:ascii="Belgium" w:hAnsi="Belgium"/>
          <w:b/>
          <w:bCs/>
        </w:rPr>
      </w:pPr>
      <w:r>
        <w:rPr>
          <w:rFonts w:ascii="Belgium" w:hAnsi="Belgium"/>
          <w:sz w:val="18"/>
        </w:rPr>
        <w:t>errechnet aus der Angabe von W</w:t>
      </w:r>
      <w:r>
        <w:rPr>
          <w:rFonts w:ascii="Belgium" w:hAnsi="Belgium"/>
          <w:b/>
          <w:bCs/>
          <w:vertAlign w:val="subscript"/>
        </w:rPr>
        <w:t>A</w:t>
      </w:r>
      <w:r>
        <w:rPr>
          <w:rFonts w:ascii="Belgium" w:hAnsi="Belgium"/>
          <w:sz w:val="18"/>
        </w:rPr>
        <w:t xml:space="preserve"> </w:t>
      </w:r>
    </w:p>
    <w:p w14:paraId="28DD215C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/>
          <w:sz w:val="18"/>
        </w:rPr>
      </w:pPr>
      <w:r>
        <w:rPr>
          <w:rFonts w:ascii="Belgium" w:hAnsi="Belgium"/>
          <w:b/>
          <w:bCs/>
        </w:rPr>
        <w:tab/>
        <w:t>h/d:</w:t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b/>
          <w:bCs/>
        </w:rPr>
        <w:tab/>
      </w:r>
      <w:r>
        <w:rPr>
          <w:rFonts w:ascii="Belgium" w:hAnsi="Belgium"/>
          <w:sz w:val="18"/>
        </w:rPr>
        <w:t xml:space="preserve">Strahlzeit am Tag bei der in der gleichen Spalte angegebenen Aktivität; </w:t>
      </w:r>
    </w:p>
    <w:p w14:paraId="46558835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left="1440" w:firstLine="720"/>
        <w:rPr>
          <w:rFonts w:ascii="Belgium" w:hAnsi="Belgium"/>
          <w:b/>
          <w:bCs/>
        </w:rPr>
      </w:pPr>
      <w:r>
        <w:rPr>
          <w:rFonts w:ascii="Belgium" w:hAnsi="Belgium"/>
          <w:sz w:val="18"/>
        </w:rPr>
        <w:t>errechnet aus der Angabe von W</w:t>
      </w:r>
      <w:r>
        <w:rPr>
          <w:rFonts w:ascii="Belgium" w:hAnsi="Belgium"/>
          <w:b/>
          <w:bCs/>
          <w:vertAlign w:val="subscript"/>
        </w:rPr>
        <w:t>A</w:t>
      </w:r>
    </w:p>
    <w:p w14:paraId="5A574586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</w:p>
    <w:p w14:paraId="61131193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  <w:u w:val="single"/>
        </w:rPr>
      </w:pPr>
      <w:r>
        <w:rPr>
          <w:rFonts w:ascii="Belgium" w:hAnsi="Belgium" w:cs="Segoe UI"/>
          <w:b/>
          <w:bCs/>
          <w:u w:val="single"/>
        </w:rPr>
        <w:t>Spalte „gerechnet“</w:t>
      </w:r>
    </w:p>
    <w:p w14:paraId="339623D2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</w:p>
    <w:p w14:paraId="21E90CF4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Die vorstehenden Zeilen und Spalten dienen lediglich dem Überblick über den vorgesehenen Betrieb.</w:t>
      </w:r>
    </w:p>
    <w:p w14:paraId="04A2A212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firstLine="720"/>
        <w:rPr>
          <w:rFonts w:ascii="Belgium" w:hAnsi="Belgium" w:cs="Segoe UI"/>
          <w:sz w:val="18"/>
        </w:rPr>
      </w:pPr>
      <w:r>
        <w:rPr>
          <w:rFonts w:ascii="Belgium" w:hAnsi="Belgium" w:cs="Segoe UI"/>
          <w:sz w:val="18"/>
        </w:rPr>
        <w:t xml:space="preserve">In dieser Spalte nun stehen in Analogie zu den zuvor beschriebenen Feldern das </w:t>
      </w:r>
      <w:r>
        <w:rPr>
          <w:rFonts w:ascii="Belgium" w:hAnsi="Belgium" w:cs="Segoe UI"/>
          <w:b/>
          <w:bCs/>
          <w:sz w:val="18"/>
        </w:rPr>
        <w:t>Nuklid</w:t>
      </w:r>
      <w:r>
        <w:rPr>
          <w:rFonts w:ascii="Belgium" w:hAnsi="Belgium" w:cs="Segoe UI"/>
          <w:sz w:val="18"/>
        </w:rPr>
        <w:t xml:space="preserve">, die </w:t>
      </w:r>
      <w:r>
        <w:rPr>
          <w:rFonts w:ascii="Belgium" w:hAnsi="Belgium" w:cs="Segoe UI"/>
          <w:b/>
          <w:bCs/>
          <w:sz w:val="18"/>
        </w:rPr>
        <w:t>Aktivität</w:t>
      </w:r>
      <w:r>
        <w:rPr>
          <w:rFonts w:ascii="Belgium" w:hAnsi="Belgium" w:cs="Segoe UI"/>
          <w:sz w:val="18"/>
        </w:rPr>
        <w:t xml:space="preserve">, </w:t>
      </w:r>
    </w:p>
    <w:p w14:paraId="6E302D35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firstLine="720"/>
        <w:rPr>
          <w:rFonts w:ascii="Belgium" w:hAnsi="Belgium" w:cs="Segoe UI"/>
          <w:sz w:val="18"/>
        </w:rPr>
      </w:pPr>
      <w:r>
        <w:rPr>
          <w:rFonts w:ascii="Belgium" w:hAnsi="Belgium" w:cs="Segoe UI"/>
          <w:sz w:val="18"/>
        </w:rPr>
        <w:t xml:space="preserve">die </w:t>
      </w:r>
      <w:r>
        <w:rPr>
          <w:rFonts w:ascii="Belgium" w:hAnsi="Belgium" w:cs="Segoe UI"/>
          <w:b/>
          <w:bCs/>
          <w:sz w:val="18"/>
        </w:rPr>
        <w:t>Kenn-Dosisleistung</w:t>
      </w:r>
      <w:r>
        <w:rPr>
          <w:rFonts w:ascii="Belgium" w:hAnsi="Belgium" w:cs="Segoe UI"/>
          <w:sz w:val="18"/>
        </w:rPr>
        <w:t xml:space="preserve">, die </w:t>
      </w:r>
      <w:r>
        <w:rPr>
          <w:rFonts w:ascii="Belgium" w:hAnsi="Belgium" w:cs="Segoe UI"/>
          <w:b/>
          <w:bCs/>
          <w:sz w:val="18"/>
        </w:rPr>
        <w:t>W</w:t>
      </w:r>
      <w:r>
        <w:rPr>
          <w:rFonts w:ascii="Belgium" w:hAnsi="Belgium" w:cs="Segoe UI"/>
          <w:b/>
          <w:bCs/>
          <w:sz w:val="18"/>
          <w:vertAlign w:val="subscript"/>
        </w:rPr>
        <w:t>A</w:t>
      </w:r>
      <w:r>
        <w:rPr>
          <w:rFonts w:ascii="Belgium" w:hAnsi="Belgium" w:cs="Segoe UI"/>
          <w:sz w:val="18"/>
        </w:rPr>
        <w:t xml:space="preserve"> und die </w:t>
      </w:r>
      <w:r>
        <w:rPr>
          <w:rFonts w:ascii="Belgium" w:hAnsi="Belgium" w:cs="Segoe UI"/>
          <w:b/>
          <w:bCs/>
          <w:sz w:val="18"/>
        </w:rPr>
        <w:t>Strahlzeit</w:t>
      </w:r>
      <w:r>
        <w:rPr>
          <w:rFonts w:ascii="Belgium" w:hAnsi="Belgium" w:cs="Segoe UI"/>
          <w:sz w:val="18"/>
        </w:rPr>
        <w:t xml:space="preserve"> pro Woche die für die Berechnungen der sich darunter</w:t>
      </w:r>
    </w:p>
    <w:p w14:paraId="49432B96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firstLine="720"/>
        <w:rPr>
          <w:rFonts w:ascii="Belgium" w:hAnsi="Belgium" w:cs="Segoe UI"/>
          <w:b/>
          <w:bCs/>
        </w:rPr>
      </w:pPr>
      <w:r>
        <w:rPr>
          <w:rFonts w:ascii="Belgium" w:hAnsi="Belgium" w:cs="Segoe UI"/>
          <w:sz w:val="18"/>
        </w:rPr>
        <w:t>befindenden Tabelle verwendet wurden.</w:t>
      </w:r>
    </w:p>
    <w:p w14:paraId="30EBF189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firstLine="720"/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br w:type="page"/>
      </w:r>
    </w:p>
    <w:p w14:paraId="669DD8A7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  <w:sz w:val="24"/>
          <w:u w:val="single"/>
        </w:rPr>
      </w:pPr>
      <w:r>
        <w:rPr>
          <w:rFonts w:ascii="Belgium" w:hAnsi="Belgium" w:cs="Segoe UI"/>
          <w:b/>
          <w:bCs/>
          <w:sz w:val="24"/>
          <w:u w:val="single"/>
        </w:rPr>
        <w:t>Tabelle:</w:t>
      </w:r>
    </w:p>
    <w:p w14:paraId="508D6E3C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</w:p>
    <w:p w14:paraId="5CCADF64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tab/>
        <w:t>Punkt: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Kennung des Aufpunktes (A bis ...)</w:t>
      </w:r>
    </w:p>
    <w:p w14:paraId="6DE8F93C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Nähere Beschreibung des Aufpunktes</w:t>
      </w:r>
    </w:p>
    <w:p w14:paraId="1DAE60F2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</w:p>
    <w:p w14:paraId="45C9D7FD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b/>
          <w:bCs/>
        </w:rPr>
        <w:tab/>
        <w:t>Abstand: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Abstand des Aufpunktes aus dieser Zeile von der Quelle</w:t>
      </w:r>
    </w:p>
    <w:p w14:paraId="6B6FE7F7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</w:p>
    <w:p w14:paraId="3F22CD84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b/>
          <w:bCs/>
        </w:rPr>
        <w:tab/>
        <w:t>Streufaktor: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 xml:space="preserve">Anteil der Streustrahlung in diesem Aufpunkt; Bei Direktstrahlung ist der </w:t>
      </w:r>
      <w:r>
        <w:rPr>
          <w:rFonts w:ascii="Belgium" w:hAnsi="Belgium" w:cs="Segoe UI"/>
          <w:b/>
          <w:bCs/>
          <w:sz w:val="18"/>
        </w:rPr>
        <w:t>Streufaktor</w:t>
      </w:r>
      <w:r>
        <w:rPr>
          <w:rFonts w:ascii="Belgium" w:hAnsi="Belgium" w:cs="Segoe UI"/>
          <w:sz w:val="18"/>
        </w:rPr>
        <w:t xml:space="preserve"> = 1; </w:t>
      </w:r>
    </w:p>
    <w:p w14:paraId="35331240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left="1440" w:firstLine="720"/>
        <w:rPr>
          <w:rFonts w:ascii="Belgium" w:hAnsi="Belgium" w:cs="Segoe UI"/>
          <w:sz w:val="18"/>
        </w:rPr>
      </w:pPr>
      <w:r>
        <w:rPr>
          <w:rFonts w:ascii="Belgium" w:hAnsi="Belgium" w:cs="Segoe UI"/>
          <w:sz w:val="18"/>
        </w:rPr>
        <w:t xml:space="preserve">Für die Tür z.B. wird mit einem </w:t>
      </w:r>
    </w:p>
    <w:p w14:paraId="034FFE2A" w14:textId="77777777" w:rsidR="00067300" w:rsidRDefault="00067300">
      <w:pPr>
        <w:pStyle w:val="Basis-Kopfzeile"/>
        <w:keepLines w:val="0"/>
        <w:numPr>
          <w:ilvl w:val="0"/>
          <w:numId w:val="3"/>
        </w:numPr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sz w:val="18"/>
        </w:rPr>
        <w:t>Direktstrahlungsanteil (</w:t>
      </w:r>
      <w:r>
        <w:rPr>
          <w:rFonts w:ascii="Belgium" w:hAnsi="Belgium" w:cs="Segoe UI"/>
          <w:b/>
          <w:bCs/>
          <w:sz w:val="18"/>
        </w:rPr>
        <w:t>Streufaktor</w:t>
      </w:r>
      <w:r>
        <w:rPr>
          <w:rFonts w:ascii="Belgium" w:hAnsi="Belgium" w:cs="Segoe UI"/>
          <w:sz w:val="18"/>
        </w:rPr>
        <w:t xml:space="preserve"> =1) und einem </w:t>
      </w:r>
    </w:p>
    <w:p w14:paraId="2ED64DBA" w14:textId="77777777" w:rsidR="00067300" w:rsidRDefault="00067300">
      <w:pPr>
        <w:pStyle w:val="Basis-Kopfzeile"/>
        <w:keepLines w:val="0"/>
        <w:numPr>
          <w:ilvl w:val="0"/>
          <w:numId w:val="3"/>
        </w:numPr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sz w:val="18"/>
        </w:rPr>
        <w:t>Streustrahlungsanteil von 10 % der Strahlung (</w:t>
      </w:r>
      <w:r>
        <w:rPr>
          <w:rFonts w:ascii="Belgium" w:hAnsi="Belgium" w:cs="Segoe UI"/>
          <w:b/>
          <w:bCs/>
          <w:sz w:val="18"/>
        </w:rPr>
        <w:t>Streufaktor</w:t>
      </w:r>
      <w:r>
        <w:rPr>
          <w:rFonts w:ascii="Belgium" w:hAnsi="Belgium" w:cs="Segoe UI"/>
          <w:sz w:val="18"/>
        </w:rPr>
        <w:t xml:space="preserve"> = o,1) gerechnet,</w:t>
      </w:r>
    </w:p>
    <w:p w14:paraId="6E70A273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left="1440" w:firstLine="720"/>
        <w:rPr>
          <w:rFonts w:ascii="Belgium" w:hAnsi="Belgium" w:cs="Segoe UI"/>
          <w:b/>
          <w:bCs/>
          <w:sz w:val="16"/>
        </w:rPr>
      </w:pPr>
      <w:r>
        <w:rPr>
          <w:rFonts w:ascii="Belgium" w:hAnsi="Belgium" w:cs="Segoe UI"/>
          <w:sz w:val="16"/>
        </w:rPr>
        <w:t>(DIN 6853-2; Pkt 11; Seite 9)</w:t>
      </w:r>
    </w:p>
    <w:p w14:paraId="72150A5D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</w:p>
    <w:p w14:paraId="2C3B83E7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tab/>
        <w:t>Dl</w:t>
      </w:r>
      <w:r>
        <w:rPr>
          <w:rFonts w:ascii="Belgium" w:hAnsi="Belgium" w:cs="Segoe UI"/>
          <w:b/>
          <w:bCs/>
          <w:vertAlign w:val="subscript"/>
        </w:rPr>
        <w:t>o</w:t>
      </w:r>
      <w:r>
        <w:rPr>
          <w:rFonts w:ascii="Belgium" w:hAnsi="Belgium" w:cs="Segoe UI"/>
          <w:b/>
          <w:bCs/>
        </w:rPr>
        <w:t>: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 xml:space="preserve">= </w:t>
      </w:r>
      <w:r>
        <w:rPr>
          <w:rFonts w:ascii="Belgium" w:hAnsi="Belgium" w:cs="Segoe UI"/>
          <w:b/>
          <w:bCs/>
          <w:sz w:val="18"/>
        </w:rPr>
        <w:t>KennDL</w:t>
      </w:r>
      <w:r>
        <w:rPr>
          <w:rFonts w:ascii="Belgium" w:hAnsi="Belgium" w:cs="Segoe UI"/>
          <w:sz w:val="18"/>
        </w:rPr>
        <w:t xml:space="preserve"> / </w:t>
      </w:r>
      <w:r>
        <w:rPr>
          <w:rFonts w:ascii="Belgium" w:hAnsi="Belgium" w:cs="Segoe UI"/>
          <w:b/>
          <w:bCs/>
          <w:sz w:val="18"/>
        </w:rPr>
        <w:t>Abstand</w:t>
      </w:r>
      <w:r>
        <w:rPr>
          <w:rFonts w:ascii="Belgium" w:hAnsi="Belgium" w:cs="Segoe UI"/>
          <w:sz w:val="18"/>
          <w:vertAlign w:val="superscript"/>
        </w:rPr>
        <w:t>2</w:t>
      </w:r>
      <w:r>
        <w:rPr>
          <w:rFonts w:ascii="Belgium" w:hAnsi="Belgium" w:cs="Segoe UI"/>
          <w:sz w:val="18"/>
        </w:rPr>
        <w:t xml:space="preserve"> *</w:t>
      </w:r>
      <w:r>
        <w:rPr>
          <w:rFonts w:ascii="Belgium" w:hAnsi="Belgium" w:cs="Segoe UI"/>
          <w:b/>
          <w:bCs/>
          <w:sz w:val="18"/>
        </w:rPr>
        <w:t>Streufaktor</w:t>
      </w:r>
    </w:p>
    <w:p w14:paraId="024000F9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</w:p>
    <w:p w14:paraId="6C7211F1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tab/>
        <w:t>Aufenth Faktor: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Der Aufenthaltsfaktor in dem Aufpunkt; bei ständigem Aufenthalt ist der Faktor = 1</w:t>
      </w:r>
    </w:p>
    <w:p w14:paraId="6F274150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</w:p>
    <w:p w14:paraId="50018715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tab/>
        <w:t>Dosis.Grenzwerte:</w:t>
      </w:r>
    </w:p>
    <w:p w14:paraId="65A8158E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Woche</w:t>
      </w:r>
    </w:p>
    <w:p w14:paraId="7C4FDC1F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H</w:t>
      </w:r>
      <w:r>
        <w:rPr>
          <w:rFonts w:ascii="Belgium" w:hAnsi="Belgium" w:cs="Segoe UI"/>
          <w:b/>
          <w:bCs/>
          <w:vertAlign w:val="subscript"/>
        </w:rPr>
        <w:t>w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Grenzwert der zulässigen Wochendosis auf der Basis der zulässigen</w:t>
      </w:r>
    </w:p>
    <w:p w14:paraId="1EBC94EA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  <w:t>Jahresdosis und 50 Wochen / Jahr</w:t>
      </w:r>
    </w:p>
    <w:p w14:paraId="43A98E07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H</w:t>
      </w:r>
      <w:r>
        <w:rPr>
          <w:rFonts w:ascii="Belgium" w:hAnsi="Belgium" w:cs="Segoe UI"/>
          <w:b/>
          <w:bCs/>
          <w:vertAlign w:val="subscript"/>
        </w:rPr>
        <w:t>w</w:t>
      </w:r>
      <w:r>
        <w:rPr>
          <w:rFonts w:ascii="Belgium" w:hAnsi="Belgium" w:cs="Segoe UI"/>
          <w:b/>
          <w:bCs/>
        </w:rPr>
        <w:t>*1/T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= H</w:t>
      </w:r>
      <w:r>
        <w:rPr>
          <w:rFonts w:ascii="Belgium" w:hAnsi="Belgium" w:cs="Segoe UI"/>
          <w:b/>
          <w:bCs/>
          <w:vertAlign w:val="subscript"/>
        </w:rPr>
        <w:t>w</w:t>
      </w:r>
      <w:r>
        <w:rPr>
          <w:rFonts w:ascii="Belgium" w:hAnsi="Belgium" w:cs="Segoe UI"/>
          <w:sz w:val="18"/>
        </w:rPr>
        <w:t xml:space="preserve"> / Aufenthaltsfaktor</w:t>
      </w:r>
    </w:p>
    <w:p w14:paraId="5ABA8526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  <w:sz w:val="18"/>
        </w:rPr>
      </w:pP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  <w:t xml:space="preserve">Grenzwert der Wochendosis korrigiert durch den angesetzten </w:t>
      </w:r>
      <w:r>
        <w:rPr>
          <w:rFonts w:ascii="Belgium" w:hAnsi="Belgium" w:cs="Segoe UI"/>
          <w:b/>
          <w:bCs/>
          <w:sz w:val="18"/>
        </w:rPr>
        <w:t>AufenthFaktor</w:t>
      </w:r>
    </w:p>
    <w:p w14:paraId="4092DE24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6"/>
        </w:rPr>
      </w:pPr>
      <w:r>
        <w:rPr>
          <w:rFonts w:ascii="Belgium" w:hAnsi="Belgium" w:cs="Segoe UI"/>
          <w:b/>
          <w:bCs/>
          <w:sz w:val="18"/>
        </w:rPr>
        <w:tab/>
      </w:r>
      <w:r>
        <w:rPr>
          <w:rFonts w:ascii="Belgium" w:hAnsi="Belgium" w:cs="Segoe UI"/>
          <w:b/>
          <w:bCs/>
          <w:sz w:val="18"/>
        </w:rPr>
        <w:tab/>
      </w:r>
      <w:r>
        <w:rPr>
          <w:rFonts w:ascii="Belgium" w:hAnsi="Belgium" w:cs="Segoe UI"/>
          <w:b/>
          <w:bCs/>
          <w:sz w:val="18"/>
        </w:rPr>
        <w:tab/>
      </w:r>
      <w:r>
        <w:rPr>
          <w:rFonts w:ascii="Belgium" w:hAnsi="Belgium" w:cs="Segoe UI"/>
          <w:b/>
          <w:bCs/>
          <w:sz w:val="18"/>
        </w:rPr>
        <w:tab/>
      </w:r>
      <w:r>
        <w:rPr>
          <w:rFonts w:ascii="Belgium" w:hAnsi="Belgium" w:cs="Segoe UI"/>
          <w:b/>
          <w:bCs/>
          <w:sz w:val="18"/>
        </w:rPr>
        <w:tab/>
      </w:r>
      <w:r>
        <w:rPr>
          <w:rFonts w:ascii="Belgium" w:hAnsi="Belgium" w:cs="Segoe UI"/>
          <w:sz w:val="16"/>
        </w:rPr>
        <w:t>Rein theoretisch kann die Ortsdosis in einem Aufpunkt um den reziproken Wert des</w:t>
      </w:r>
    </w:p>
    <w:p w14:paraId="5D60F506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6"/>
        </w:rPr>
      </w:pP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  <w:t xml:space="preserve">AufenthFaktors höher zugelassen werden ohne dass die zulässige Jahresdosis </w:t>
      </w:r>
    </w:p>
    <w:p w14:paraId="6BA4E13C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6"/>
        </w:rPr>
      </w:pP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  <w:t>Überschritten wird. Die DIN lässt dabei unberücksichtigt, in wieweit die Strahlzeit geringer</w:t>
      </w:r>
    </w:p>
    <w:p w14:paraId="2F61B6E1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6"/>
        </w:rPr>
      </w:pP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  <w:t>oder länger ist als es dem AufenthFaktor entspricht (VORSICHT!).</w:t>
      </w:r>
    </w:p>
    <w:p w14:paraId="52B1A7C9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Stunde</w:t>
      </w:r>
    </w:p>
    <w:p w14:paraId="047E9FE4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H</w:t>
      </w:r>
      <w:r>
        <w:rPr>
          <w:rFonts w:ascii="Belgium" w:hAnsi="Belgium" w:cs="Segoe UI"/>
          <w:b/>
          <w:bCs/>
          <w:vertAlign w:val="subscript"/>
        </w:rPr>
        <w:t>s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zulässiger Dosisleistungsgrenzwert pro Stunde [h]</w:t>
      </w:r>
    </w:p>
    <w:p w14:paraId="08C8A774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left="2880" w:firstLine="720"/>
        <w:rPr>
          <w:rFonts w:ascii="Belgium" w:hAnsi="Belgium" w:cs="Segoe UI"/>
          <w:sz w:val="18"/>
        </w:rPr>
      </w:pPr>
      <w:r>
        <w:rPr>
          <w:rFonts w:ascii="Belgium" w:hAnsi="Belgium" w:cs="Segoe UI"/>
          <w:sz w:val="18"/>
        </w:rPr>
        <w:t>Berechnet auf der Basis des zulässigen Jahresgrenzwert [mSv] und</w:t>
      </w:r>
    </w:p>
    <w:p w14:paraId="14CCB468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left="2880" w:firstLine="720"/>
        <w:rPr>
          <w:rFonts w:ascii="Belgium" w:hAnsi="Belgium" w:cs="Segoe UI"/>
          <w:b/>
          <w:bCs/>
        </w:rPr>
      </w:pPr>
      <w:r>
        <w:rPr>
          <w:rFonts w:ascii="Belgium" w:hAnsi="Belgium" w:cs="Segoe UI"/>
          <w:sz w:val="18"/>
        </w:rPr>
        <w:t>2000 Stunden pro Jahr (5 * 8 h/d; 50 Wochen pro Jahr)</w:t>
      </w:r>
    </w:p>
    <w:p w14:paraId="0C31B427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H</w:t>
      </w:r>
      <w:r>
        <w:rPr>
          <w:rFonts w:ascii="Belgium" w:hAnsi="Belgium" w:cs="Segoe UI"/>
          <w:b/>
          <w:bCs/>
          <w:vertAlign w:val="subscript"/>
        </w:rPr>
        <w:t>s</w:t>
      </w:r>
      <w:r>
        <w:rPr>
          <w:rFonts w:ascii="Belgium" w:hAnsi="Belgium" w:cs="Segoe UI"/>
          <w:b/>
          <w:bCs/>
        </w:rPr>
        <w:t xml:space="preserve"> * 1/T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= H</w:t>
      </w:r>
      <w:r>
        <w:rPr>
          <w:rFonts w:ascii="Belgium" w:hAnsi="Belgium" w:cs="Segoe UI"/>
          <w:b/>
          <w:bCs/>
          <w:vertAlign w:val="subscript"/>
        </w:rPr>
        <w:t>s</w:t>
      </w:r>
      <w:r>
        <w:rPr>
          <w:rFonts w:ascii="Belgium" w:hAnsi="Belgium" w:cs="Segoe UI"/>
          <w:sz w:val="18"/>
        </w:rPr>
        <w:t xml:space="preserve"> / Aufenthaltsfaktor</w:t>
      </w:r>
    </w:p>
    <w:p w14:paraId="69D902C0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  <w:t xml:space="preserve">Grenzwert der Ortsdosisleistung pro Stunde [h] korrigiert durch den </w:t>
      </w:r>
    </w:p>
    <w:p w14:paraId="454B5DA3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left="2880" w:firstLine="720"/>
        <w:rPr>
          <w:rFonts w:ascii="Belgium" w:hAnsi="Belgium" w:cs="Segoe UI"/>
          <w:b/>
          <w:bCs/>
          <w:sz w:val="18"/>
        </w:rPr>
      </w:pPr>
      <w:r>
        <w:rPr>
          <w:rFonts w:ascii="Belgium" w:hAnsi="Belgium" w:cs="Segoe UI"/>
          <w:sz w:val="18"/>
        </w:rPr>
        <w:t xml:space="preserve">angesetzten </w:t>
      </w:r>
      <w:r>
        <w:rPr>
          <w:rFonts w:ascii="Belgium" w:hAnsi="Belgium" w:cs="Segoe UI"/>
          <w:b/>
          <w:bCs/>
          <w:sz w:val="18"/>
        </w:rPr>
        <w:t>AufenthFaktor</w:t>
      </w:r>
    </w:p>
    <w:p w14:paraId="7754008A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6"/>
        </w:rPr>
      </w:pPr>
      <w:r>
        <w:rPr>
          <w:rFonts w:ascii="Belgium" w:hAnsi="Belgium" w:cs="Segoe UI"/>
          <w:b/>
          <w:bCs/>
          <w:sz w:val="18"/>
        </w:rPr>
        <w:tab/>
      </w:r>
      <w:r>
        <w:rPr>
          <w:rFonts w:ascii="Belgium" w:hAnsi="Belgium" w:cs="Segoe UI"/>
          <w:b/>
          <w:bCs/>
          <w:sz w:val="18"/>
        </w:rPr>
        <w:tab/>
      </w:r>
      <w:r>
        <w:rPr>
          <w:rFonts w:ascii="Belgium" w:hAnsi="Belgium" w:cs="Segoe UI"/>
          <w:b/>
          <w:bCs/>
          <w:sz w:val="18"/>
        </w:rPr>
        <w:tab/>
      </w:r>
      <w:r>
        <w:rPr>
          <w:rFonts w:ascii="Belgium" w:hAnsi="Belgium" w:cs="Segoe UI"/>
          <w:b/>
          <w:bCs/>
          <w:sz w:val="18"/>
        </w:rPr>
        <w:tab/>
      </w:r>
      <w:r>
        <w:rPr>
          <w:rFonts w:ascii="Belgium" w:hAnsi="Belgium" w:cs="Segoe UI"/>
          <w:b/>
          <w:bCs/>
          <w:sz w:val="18"/>
        </w:rPr>
        <w:tab/>
      </w:r>
      <w:r>
        <w:rPr>
          <w:rFonts w:ascii="Belgium" w:hAnsi="Belgium" w:cs="Segoe UI"/>
          <w:sz w:val="16"/>
        </w:rPr>
        <w:t>Rein theoretisch kann die Ortsdosis in einem Aufpunkt um den reziproken Wert des</w:t>
      </w:r>
    </w:p>
    <w:p w14:paraId="6CA5B587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6"/>
        </w:rPr>
      </w:pP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  <w:t xml:space="preserve">AufenthFaktors höher zugelassen werden ohne dass die zulässige Jahresdosis </w:t>
      </w:r>
    </w:p>
    <w:p w14:paraId="2C31DE93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6"/>
        </w:rPr>
      </w:pP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  <w:t>Überschritten wird. Die DIN lässt dabei unberücksichtigt, in wieweit die Strahlzeit geringer</w:t>
      </w:r>
    </w:p>
    <w:p w14:paraId="103481DA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6"/>
        </w:rPr>
      </w:pP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</w:r>
      <w:r>
        <w:rPr>
          <w:rFonts w:ascii="Belgium" w:hAnsi="Belgium" w:cs="Segoe UI"/>
          <w:sz w:val="16"/>
        </w:rPr>
        <w:tab/>
        <w:t>oder länger ist als es dem AufenthFaktor entspricht.</w:t>
      </w:r>
    </w:p>
    <w:p w14:paraId="49663082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left="2880" w:firstLine="720"/>
        <w:rPr>
          <w:rFonts w:ascii="Belgium" w:hAnsi="Belgium" w:cs="Segoe UI"/>
          <w:sz w:val="16"/>
        </w:rPr>
      </w:pPr>
      <w:r>
        <w:rPr>
          <w:rFonts w:ascii="Belgium" w:hAnsi="Belgium" w:cs="Segoe UI"/>
          <w:b/>
          <w:bCs/>
          <w:sz w:val="16"/>
        </w:rPr>
        <w:t>VORSICHT:</w:t>
      </w:r>
      <w:r>
        <w:rPr>
          <w:rFonts w:ascii="Belgium" w:hAnsi="Belgium" w:cs="Segoe UI"/>
          <w:sz w:val="16"/>
        </w:rPr>
        <w:tab/>
        <w:t>Die herrschende Ortsdosisleistung bei ausgefahrener Quelle kann</w:t>
      </w:r>
    </w:p>
    <w:p w14:paraId="705FBA6C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left="2880" w:firstLine="720"/>
        <w:rPr>
          <w:rFonts w:ascii="Belgium" w:hAnsi="Belgium" w:cs="Segoe UI"/>
          <w:b/>
          <w:bCs/>
        </w:rPr>
      </w:pPr>
      <w:r>
        <w:rPr>
          <w:rFonts w:ascii="Belgium" w:hAnsi="Belgium" w:cs="Segoe UI"/>
          <w:sz w:val="16"/>
        </w:rPr>
        <w:t>Beim Ansatz eines AufenthFaktors und kleinem W</w:t>
      </w:r>
      <w:r>
        <w:rPr>
          <w:rFonts w:ascii="Belgium" w:hAnsi="Belgium" w:cs="Segoe UI"/>
          <w:sz w:val="16"/>
          <w:vertAlign w:val="subscript"/>
        </w:rPr>
        <w:t>A</w:t>
      </w:r>
      <w:r>
        <w:rPr>
          <w:rFonts w:ascii="Belgium" w:hAnsi="Belgium" w:cs="Segoe UI"/>
          <w:sz w:val="16"/>
        </w:rPr>
        <w:t xml:space="preserve"> </w:t>
      </w:r>
      <w:r>
        <w:rPr>
          <w:rFonts w:ascii="Belgium" w:hAnsi="Belgium" w:cs="Segoe UI"/>
          <w:b/>
          <w:bCs/>
          <w:sz w:val="16"/>
        </w:rPr>
        <w:t>SEHR</w:t>
      </w:r>
      <w:r>
        <w:rPr>
          <w:rFonts w:ascii="Belgium" w:hAnsi="Belgium" w:cs="Segoe UI"/>
          <w:sz w:val="16"/>
        </w:rPr>
        <w:t xml:space="preserve"> hohe Werte annehmen!</w:t>
      </w:r>
    </w:p>
    <w:p w14:paraId="237FC137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br w:type="page"/>
      </w:r>
      <w:r>
        <w:rPr>
          <w:rFonts w:ascii="Belgium" w:hAnsi="Belgium" w:cs="Segoe UI"/>
          <w:b/>
          <w:bCs/>
        </w:rPr>
        <w:lastRenderedPageBreak/>
        <w:tab/>
        <w:t>Erforderl SchwGrad</w:t>
      </w:r>
    </w:p>
    <w:p w14:paraId="772417BF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Woche</w:t>
      </w:r>
    </w:p>
    <w:p w14:paraId="3EAFE024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FN</w:t>
      </w:r>
      <w:r>
        <w:rPr>
          <w:rFonts w:ascii="Belgium" w:hAnsi="Belgium" w:cs="Segoe UI"/>
          <w:b/>
          <w:bCs/>
          <w:vertAlign w:val="subscript"/>
        </w:rPr>
        <w:t>w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= Dl</w:t>
      </w:r>
      <w:r>
        <w:rPr>
          <w:rFonts w:ascii="Belgium" w:hAnsi="Belgium" w:cs="Segoe UI"/>
          <w:b/>
          <w:bCs/>
          <w:vertAlign w:val="subscript"/>
        </w:rPr>
        <w:t>o</w:t>
      </w:r>
      <w:r>
        <w:rPr>
          <w:rFonts w:ascii="Belgium" w:hAnsi="Belgium" w:cs="Segoe UI"/>
          <w:sz w:val="18"/>
        </w:rPr>
        <w:t xml:space="preserve"> * Zeit / (H</w:t>
      </w:r>
      <w:r>
        <w:rPr>
          <w:rFonts w:ascii="Belgium" w:hAnsi="Belgium" w:cs="Segoe UI"/>
          <w:b/>
          <w:bCs/>
          <w:vertAlign w:val="subscript"/>
        </w:rPr>
        <w:t>w</w:t>
      </w:r>
      <w:r>
        <w:rPr>
          <w:rFonts w:ascii="Belgium" w:hAnsi="Belgium" w:cs="Segoe UI"/>
          <w:sz w:val="18"/>
        </w:rPr>
        <w:t>*1/T)</w:t>
      </w:r>
    </w:p>
    <w:p w14:paraId="7C369253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 xml:space="preserve">Der berechnete erforderliche Schwächungswert um den </w:t>
      </w:r>
    </w:p>
    <w:p w14:paraId="549884C5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left="2880" w:firstLine="720"/>
        <w:rPr>
          <w:rFonts w:ascii="Belgium" w:hAnsi="Belgium" w:cs="Segoe UI"/>
          <w:b/>
          <w:bCs/>
        </w:rPr>
      </w:pPr>
      <w:r>
        <w:rPr>
          <w:rFonts w:ascii="Belgium" w:hAnsi="Belgium" w:cs="Segoe UI"/>
          <w:sz w:val="18"/>
        </w:rPr>
        <w:t>Wochen-Grenzwert zu erreichen</w:t>
      </w:r>
    </w:p>
    <w:p w14:paraId="7A2A54E7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DL</w:t>
      </w:r>
      <w:r>
        <w:rPr>
          <w:rFonts w:ascii="Belgium" w:hAnsi="Belgium" w:cs="Segoe UI"/>
          <w:b/>
          <w:bCs/>
          <w:vertAlign w:val="subscript"/>
        </w:rPr>
        <w:t>x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= Dl</w:t>
      </w:r>
      <w:r>
        <w:rPr>
          <w:rFonts w:ascii="Belgium" w:hAnsi="Belgium" w:cs="Segoe UI"/>
          <w:b/>
          <w:bCs/>
          <w:vertAlign w:val="subscript"/>
        </w:rPr>
        <w:t>o</w:t>
      </w:r>
      <w:r>
        <w:rPr>
          <w:rFonts w:ascii="Belgium" w:hAnsi="Belgium" w:cs="Segoe UI"/>
          <w:sz w:val="18"/>
        </w:rPr>
        <w:t xml:space="preserve"> / FN</w:t>
      </w:r>
      <w:r>
        <w:rPr>
          <w:rFonts w:ascii="Belgium" w:hAnsi="Belgium" w:cs="Segoe UI"/>
          <w:b/>
          <w:bCs/>
          <w:vertAlign w:val="subscript"/>
        </w:rPr>
        <w:t>w</w:t>
      </w:r>
    </w:p>
    <w:p w14:paraId="45080BDE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Entspricht der zu erwartenden Ortsdosisleistung [µ</w:t>
      </w:r>
      <w:r>
        <w:rPr>
          <w:rFonts w:ascii="Belgium" w:hAnsi="Belgium" w:cs="Segoe UI" w:hint="eastAsia"/>
          <w:sz w:val="18"/>
        </w:rPr>
        <w:t>Sv</w:t>
      </w:r>
      <w:r>
        <w:rPr>
          <w:rFonts w:ascii="Belgium" w:hAnsi="Belgium" w:cs="Segoe UI"/>
          <w:sz w:val="18"/>
        </w:rPr>
        <w:t xml:space="preserve">/h] in diesem Punkt </w:t>
      </w:r>
    </w:p>
    <w:p w14:paraId="60BC177E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left="2880" w:firstLine="720"/>
        <w:rPr>
          <w:rFonts w:ascii="Belgium" w:hAnsi="Belgium" w:cs="Segoe UI"/>
          <w:b/>
          <w:bCs/>
        </w:rPr>
      </w:pPr>
      <w:r>
        <w:rPr>
          <w:rFonts w:ascii="Belgium" w:hAnsi="Belgium" w:cs="Segoe UI"/>
          <w:sz w:val="18"/>
        </w:rPr>
        <w:t xml:space="preserve">für den Moment der ausgefahrenen Quelle </w:t>
      </w:r>
    </w:p>
    <w:p w14:paraId="2ADE206E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Stunde</w:t>
      </w:r>
    </w:p>
    <w:p w14:paraId="268EE5C4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FN</w:t>
      </w:r>
      <w:r>
        <w:rPr>
          <w:rFonts w:ascii="Belgium" w:hAnsi="Belgium" w:cs="Segoe UI"/>
          <w:b/>
          <w:bCs/>
          <w:vertAlign w:val="subscript"/>
        </w:rPr>
        <w:t>s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= Dl</w:t>
      </w:r>
      <w:r>
        <w:rPr>
          <w:rFonts w:ascii="Belgium" w:hAnsi="Belgium" w:cs="Segoe UI"/>
          <w:b/>
          <w:bCs/>
          <w:vertAlign w:val="subscript"/>
        </w:rPr>
        <w:t>o</w:t>
      </w:r>
      <w:r>
        <w:rPr>
          <w:rFonts w:ascii="Belgium" w:hAnsi="Belgium" w:cs="Segoe UI"/>
          <w:sz w:val="18"/>
        </w:rPr>
        <w:t xml:space="preserve"> / (H</w:t>
      </w:r>
      <w:r>
        <w:rPr>
          <w:rFonts w:ascii="Belgium" w:hAnsi="Belgium" w:cs="Segoe UI"/>
          <w:b/>
          <w:bCs/>
          <w:vertAlign w:val="subscript"/>
        </w:rPr>
        <w:t>s</w:t>
      </w:r>
      <w:r>
        <w:rPr>
          <w:rFonts w:ascii="Belgium" w:hAnsi="Belgium" w:cs="Segoe UI"/>
          <w:sz w:val="18"/>
        </w:rPr>
        <w:t>*1/T)</w:t>
      </w:r>
    </w:p>
    <w:p w14:paraId="531166D2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  <w:t xml:space="preserve">Der berechnete erforderliche Schwächungswert um den </w:t>
      </w:r>
    </w:p>
    <w:p w14:paraId="5DA25F3A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ind w:left="2880" w:firstLine="720"/>
        <w:rPr>
          <w:rFonts w:ascii="Belgium" w:hAnsi="Belgium" w:cs="Segoe UI"/>
          <w:b/>
          <w:bCs/>
        </w:rPr>
      </w:pPr>
      <w:r>
        <w:rPr>
          <w:rFonts w:ascii="Belgium" w:hAnsi="Belgium" w:cs="Segoe UI"/>
          <w:sz w:val="18"/>
        </w:rPr>
        <w:t>Stunden-Grenzwert zu erreichen</w:t>
      </w:r>
    </w:p>
    <w:p w14:paraId="392C2536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DL</w:t>
      </w:r>
      <w:r>
        <w:rPr>
          <w:rFonts w:ascii="Belgium" w:hAnsi="Belgium" w:cs="Segoe UI"/>
          <w:b/>
          <w:bCs/>
          <w:vertAlign w:val="subscript"/>
        </w:rPr>
        <w:t>x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= Dl</w:t>
      </w:r>
      <w:r>
        <w:rPr>
          <w:rFonts w:ascii="Belgium" w:hAnsi="Belgium" w:cs="Segoe UI"/>
          <w:b/>
          <w:bCs/>
          <w:vertAlign w:val="subscript"/>
        </w:rPr>
        <w:t>o</w:t>
      </w:r>
      <w:r>
        <w:rPr>
          <w:rFonts w:ascii="Belgium" w:hAnsi="Belgium" w:cs="Segoe UI"/>
          <w:sz w:val="18"/>
        </w:rPr>
        <w:t xml:space="preserve"> / FN</w:t>
      </w:r>
      <w:r>
        <w:rPr>
          <w:rFonts w:ascii="Belgium" w:hAnsi="Belgium" w:cs="Segoe UI"/>
          <w:b/>
          <w:bCs/>
          <w:vertAlign w:val="subscript"/>
        </w:rPr>
        <w:t>s</w:t>
      </w:r>
    </w:p>
    <w:p w14:paraId="6D9C6D18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  <w:t>Entspricht der Ortsdosisleistung [µ</w:t>
      </w:r>
      <w:r>
        <w:rPr>
          <w:rFonts w:ascii="Belgium" w:hAnsi="Belgium" w:cs="Segoe UI" w:hint="eastAsia"/>
          <w:sz w:val="18"/>
        </w:rPr>
        <w:t>Sv</w:t>
      </w:r>
      <w:r>
        <w:rPr>
          <w:rFonts w:ascii="Belgium" w:hAnsi="Belgium" w:cs="Segoe UI"/>
          <w:sz w:val="18"/>
        </w:rPr>
        <w:t>/h] in diesem Punkt für den Moment der</w:t>
      </w:r>
    </w:p>
    <w:p w14:paraId="251221D0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  <w:t xml:space="preserve">ausgefahrenen Quelle </w:t>
      </w:r>
    </w:p>
    <w:p w14:paraId="43A7F836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tab/>
        <w:t>Ausgeführt</w:t>
      </w:r>
    </w:p>
    <w:p w14:paraId="1DEA0CAE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FN</w:t>
      </w:r>
      <w:r>
        <w:rPr>
          <w:rFonts w:ascii="Belgium" w:hAnsi="Belgium" w:cs="Segoe UI"/>
          <w:b/>
          <w:bCs/>
          <w:vertAlign w:val="subscript"/>
        </w:rPr>
        <w:t>g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Gesamtschwächung zwischen der Quelle und dem Aufpunkt wie</w:t>
      </w:r>
    </w:p>
    <w:p w14:paraId="36F5399E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  <w:t>er der nachfolgenden Tabelle entsprechend zur Ausführung kommt</w:t>
      </w:r>
    </w:p>
    <w:p w14:paraId="78B02408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H(10)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Dl</w:t>
      </w:r>
      <w:r>
        <w:rPr>
          <w:rFonts w:ascii="Belgium" w:hAnsi="Belgium" w:cs="Segoe UI"/>
          <w:b/>
          <w:bCs/>
          <w:vertAlign w:val="subscript"/>
        </w:rPr>
        <w:t>o</w:t>
      </w:r>
      <w:r>
        <w:rPr>
          <w:rFonts w:ascii="Belgium" w:hAnsi="Belgium" w:cs="Segoe UI"/>
          <w:sz w:val="18"/>
        </w:rPr>
        <w:t xml:space="preserve"> / FN</w:t>
      </w:r>
      <w:r>
        <w:rPr>
          <w:rFonts w:ascii="Belgium" w:hAnsi="Belgium" w:cs="Segoe UI"/>
          <w:b/>
          <w:bCs/>
          <w:vertAlign w:val="subscript"/>
        </w:rPr>
        <w:t>g</w:t>
      </w:r>
      <w:r>
        <w:rPr>
          <w:rFonts w:ascii="Belgium" w:hAnsi="Belgium" w:cs="Segoe UI"/>
          <w:b/>
          <w:bCs/>
        </w:rPr>
        <w:t xml:space="preserve"> </w:t>
      </w:r>
      <w:r>
        <w:rPr>
          <w:rFonts w:ascii="Belgium" w:hAnsi="Belgium" w:cs="Segoe UI"/>
          <w:sz w:val="18"/>
        </w:rPr>
        <w:t>[µ</w:t>
      </w:r>
      <w:r>
        <w:rPr>
          <w:rFonts w:ascii="Belgium" w:hAnsi="Belgium" w:cs="Segoe UI" w:hint="eastAsia"/>
          <w:sz w:val="18"/>
        </w:rPr>
        <w:t>Sv</w:t>
      </w:r>
      <w:r>
        <w:rPr>
          <w:rFonts w:ascii="Belgium" w:hAnsi="Belgium" w:cs="Segoe UI"/>
          <w:sz w:val="18"/>
        </w:rPr>
        <w:t>/h]</w:t>
      </w:r>
    </w:p>
    <w:p w14:paraId="18634B9B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  <w:t>Dosis</w:t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b/>
          <w:bCs/>
        </w:rPr>
        <w:tab/>
      </w:r>
      <w:r>
        <w:rPr>
          <w:rFonts w:ascii="Belgium" w:hAnsi="Belgium" w:cs="Segoe UI"/>
          <w:sz w:val="18"/>
        </w:rPr>
        <w:t>H(10) * Zeit * 50 [mSv/a]</w:t>
      </w:r>
    </w:p>
    <w:p w14:paraId="34584729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  <w:t>Erwartete (berechnete) Dosis im Jahr in diesem Aufpunkt</w:t>
      </w:r>
    </w:p>
    <w:p w14:paraId="39AEBF2B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sz w:val="18"/>
        </w:rPr>
      </w:pP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  <w:t>Ermittelt aus der herrschenden Ortsdosisleistung H(10) im Moment der</w:t>
      </w:r>
    </w:p>
    <w:p w14:paraId="7FE8B533" w14:textId="77777777" w:rsidR="00067300" w:rsidRDefault="00067300">
      <w:pPr>
        <w:pStyle w:val="Basis-Kopfzeile"/>
        <w:keepLines w:val="0"/>
        <w:tabs>
          <w:tab w:val="clear" w:pos="4320"/>
          <w:tab w:val="clear" w:pos="8640"/>
        </w:tabs>
        <w:rPr>
          <w:rFonts w:ascii="Belgium" w:hAnsi="Belgium" w:cs="Segoe UI"/>
          <w:b/>
          <w:bCs/>
        </w:rPr>
      </w:pP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</w:r>
      <w:r>
        <w:rPr>
          <w:rFonts w:ascii="Belgium" w:hAnsi="Belgium" w:cs="Segoe UI"/>
          <w:sz w:val="18"/>
        </w:rPr>
        <w:tab/>
        <w:t>ausgefahrenen Quelle und der wöchentlichen Strahlzeit</w:t>
      </w:r>
    </w:p>
    <w:sectPr w:rsidR="00067300">
      <w:headerReference w:type="default" r:id="rId7"/>
      <w:headerReference w:type="first" r:id="rId8"/>
      <w:footerReference w:type="first" r:id="rId9"/>
      <w:footnotePr>
        <w:numRestart w:val="eachPage"/>
      </w:footnotePr>
      <w:pgSz w:w="11907" w:h="16840" w:code="9"/>
      <w:pgMar w:top="2268" w:right="567" w:bottom="2268" w:left="1134" w:header="22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F94EC" w14:textId="77777777" w:rsidR="00BA56C2" w:rsidRDefault="00BA56C2">
      <w:r>
        <w:separator/>
      </w:r>
    </w:p>
  </w:endnote>
  <w:endnote w:type="continuationSeparator" w:id="0">
    <w:p w14:paraId="5C31C593" w14:textId="77777777" w:rsidR="00BA56C2" w:rsidRDefault="00BA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gium">
    <w:altName w:val="Calibri"/>
    <w:charset w:val="00"/>
    <w:family w:val="decorative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B220A" w14:textId="77777777" w:rsidR="00067300" w:rsidRDefault="00067300">
    <w:pPr>
      <w:pStyle w:val="Fuzeile"/>
      <w:jc w:val="center"/>
    </w:pPr>
    <w:r>
      <w:rPr>
        <w:rFonts w:ascii="Univers Condensed" w:hAnsi="Univers Condensed"/>
      </w:rPr>
      <w:t xml:space="preserve">Ingenieurbüro für </w:t>
    </w:r>
    <w:r>
      <w:rPr>
        <w:rFonts w:ascii="Wide Latin" w:hAnsi="Wide Latin"/>
      </w:rPr>
      <w:t>D</w:t>
    </w:r>
    <w:r>
      <w:rPr>
        <w:rFonts w:ascii="Univers Condensed" w:hAnsi="Univers Condensed"/>
      </w:rPr>
      <w:t xml:space="preserve">atentechnik und </w:t>
    </w:r>
    <w:r>
      <w:rPr>
        <w:rFonts w:ascii="Wide Latin" w:hAnsi="Wide Latin"/>
      </w:rPr>
      <w:t>A</w:t>
    </w:r>
    <w:r>
      <w:rPr>
        <w:rFonts w:ascii="Univers Condensed" w:hAnsi="Univers Condensed"/>
      </w:rPr>
      <w:t xml:space="preserve">ngewandte </w:t>
    </w:r>
    <w:r>
      <w:rPr>
        <w:rFonts w:ascii="Wide Latin" w:hAnsi="Wide Latin"/>
      </w:rPr>
      <w:t>M</w:t>
    </w:r>
    <w:r>
      <w:rPr>
        <w:rFonts w:ascii="Univers Condensed" w:hAnsi="Univers Condensed"/>
      </w:rPr>
      <w:t xml:space="preserve">edizinische </w:t>
    </w:r>
    <w:r>
      <w:rPr>
        <w:rFonts w:ascii="Wide Latin" w:hAnsi="Wide Latin"/>
      </w:rPr>
      <w:t>P</w:t>
    </w:r>
    <w:r>
      <w:rPr>
        <w:rFonts w:ascii="Univers Condensed" w:hAnsi="Univers Condensed"/>
      </w:rPr>
      <w:t>hysik</w:t>
    </w:r>
  </w:p>
  <w:p w14:paraId="6635C3A8" w14:textId="77777777" w:rsidR="00067300" w:rsidRDefault="00067300">
    <w:pPr>
      <w:pStyle w:val="Fuzeile"/>
      <w:jc w:val="center"/>
      <w:rPr>
        <w:rFonts w:ascii="Univers Condensed" w:hAnsi="Univers Condensed"/>
      </w:rPr>
    </w:pPr>
    <w:r>
      <w:rPr>
        <w:rFonts w:ascii="Univers Condensed" w:hAnsi="Univers Condensed"/>
      </w:rPr>
      <w:t>Dipl.Ing. Hartmut Sumpf</w:t>
    </w:r>
  </w:p>
  <w:p w14:paraId="379FDEC5" w14:textId="77777777" w:rsidR="00067300" w:rsidRDefault="00067300">
    <w:pPr>
      <w:pStyle w:val="Fuzeile"/>
      <w:jc w:val="center"/>
      <w:rPr>
        <w:rFonts w:ascii="Univers Condensed" w:hAnsi="Univers Condensed"/>
        <w:sz w:val="16"/>
      </w:rPr>
    </w:pPr>
    <w:r>
      <w:rPr>
        <w:rFonts w:ascii="Univers Condensed" w:hAnsi="Univers Condensed"/>
        <w:sz w:val="16"/>
      </w:rPr>
      <w:t>Oberstraße 16; 63589 Linsengericht-Altenhasslau</w:t>
    </w:r>
  </w:p>
  <w:p w14:paraId="0B320423" w14:textId="77777777" w:rsidR="00067300" w:rsidRDefault="00067300">
    <w:pPr>
      <w:pStyle w:val="Fuzeile"/>
      <w:jc w:val="center"/>
      <w:rPr>
        <w:rFonts w:ascii="Univers Condensed" w:hAnsi="Univers Condensed"/>
        <w:sz w:val="16"/>
      </w:rPr>
    </w:pPr>
    <w:r>
      <w:rPr>
        <w:rFonts w:ascii="Univers Condensed" w:hAnsi="Univers Condensed"/>
        <w:sz w:val="16"/>
      </w:rPr>
      <w:t>Tel.:  06051 969 300; FAX: 06051 969 301</w:t>
    </w:r>
  </w:p>
  <w:p w14:paraId="18D55AA8" w14:textId="77777777" w:rsidR="00067300" w:rsidRDefault="00067300">
    <w:pPr>
      <w:pStyle w:val="Fuzeile"/>
      <w:jc w:val="center"/>
      <w:rPr>
        <w:rFonts w:ascii="Univers Condensed" w:hAnsi="Univers Condensed"/>
        <w:b/>
        <w:bCs/>
        <w:sz w:val="16"/>
      </w:rPr>
    </w:pPr>
    <w:r>
      <w:rPr>
        <w:rFonts w:ascii="Univers Condensed" w:hAnsi="Univers Condensed"/>
        <w:b/>
        <w:bCs/>
        <w:sz w:val="16"/>
      </w:rPr>
      <w:t>Bank: KSK Gelnhausen; BLZ 507 500 94; Kto. 300 33 89</w:t>
    </w:r>
  </w:p>
  <w:p w14:paraId="4C038B63" w14:textId="77777777" w:rsidR="00067300" w:rsidRDefault="00067300">
    <w:pPr>
      <w:pStyle w:val="Fuzeile"/>
      <w:jc w:val="center"/>
      <w:rPr>
        <w:rFonts w:ascii="Univers Condensed" w:hAnsi="Univers Condensed"/>
        <w:sz w:val="16"/>
      </w:rPr>
    </w:pPr>
  </w:p>
  <w:p w14:paraId="3F07432F" w14:textId="77777777" w:rsidR="00067300" w:rsidRDefault="00067300">
    <w:pPr>
      <w:pStyle w:val="Fuzeile"/>
      <w:jc w:val="center"/>
      <w:rPr>
        <w:rFonts w:ascii="Univers Condensed" w:hAnsi="Univers Condensed"/>
        <w:sz w:val="16"/>
        <w:lang w:val="en-US"/>
      </w:rPr>
    </w:pPr>
    <w:r>
      <w:rPr>
        <w:rFonts w:ascii="Univers Condensed" w:hAnsi="Univers Condensed"/>
        <w:sz w:val="16"/>
        <w:lang w:val="en-US"/>
      </w:rPr>
      <w:t xml:space="preserve">E-Mail: </w:t>
    </w:r>
    <w:hyperlink r:id="rId1" w:history="1">
      <w:r>
        <w:rPr>
          <w:rStyle w:val="Hyperlink"/>
          <w:rFonts w:ascii="Univers Condensed" w:hAnsi="Univers Condensed"/>
          <w:sz w:val="16"/>
          <w:lang w:val="en-US"/>
        </w:rPr>
        <w:t>damp@strlsch.de</w:t>
      </w:r>
    </w:hyperlink>
    <w:r>
      <w:rPr>
        <w:rFonts w:ascii="Univers Condensed" w:hAnsi="Univers Condensed"/>
        <w:sz w:val="16"/>
        <w:lang w:val="en-US"/>
      </w:rPr>
      <w:t>; Homepage: http://www.strlsch.de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AFD99" w14:textId="77777777" w:rsidR="00BA56C2" w:rsidRDefault="00BA56C2">
      <w:r>
        <w:separator/>
      </w:r>
    </w:p>
  </w:footnote>
  <w:footnote w:type="continuationSeparator" w:id="0">
    <w:p w14:paraId="31A7FF56" w14:textId="77777777" w:rsidR="00BA56C2" w:rsidRDefault="00BA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A25C9" w14:textId="68FC0F5A" w:rsidR="00067300" w:rsidRDefault="0024365D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AC14CC6" wp14:editId="5CC76860">
          <wp:simplePos x="0" y="0"/>
          <wp:positionH relativeFrom="column">
            <wp:align>right</wp:align>
          </wp:positionH>
          <wp:positionV relativeFrom="paragraph">
            <wp:posOffset>-635</wp:posOffset>
          </wp:positionV>
          <wp:extent cx="3333750" cy="390525"/>
          <wp:effectExtent l="0" t="0" r="0" b="0"/>
          <wp:wrapSquare wrapText="bothSides"/>
          <wp:docPr id="125947374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FA45" w14:textId="77777777" w:rsidR="00067300" w:rsidRDefault="00067300">
    <w:pPr>
      <w:pStyle w:val="Absender"/>
      <w:jc w:val="left"/>
      <w:rPr>
        <w:rFonts w:ascii="Wide Latin" w:hAnsi="Wide Latin"/>
      </w:rPr>
    </w:pPr>
    <w:r>
      <w:rPr>
        <w:rFonts w:ascii="Wide Latin" w:hAnsi="Wide Latin"/>
      </w:rPr>
      <w:tab/>
    </w:r>
    <w:r>
      <w:rPr>
        <w:rFonts w:ascii="Wide Latin" w:hAnsi="Wide Latin"/>
      </w:rPr>
      <w:tab/>
    </w:r>
    <w:r>
      <w:rPr>
        <w:rFonts w:ascii="Wide Latin" w:hAnsi="Wide Latin"/>
      </w:rPr>
      <w:tab/>
    </w:r>
    <w:r>
      <w:rPr>
        <w:rFonts w:ascii="Wide Latin" w:hAnsi="Wide Latin"/>
      </w:rPr>
      <w:tab/>
    </w:r>
    <w:r>
      <w:rPr>
        <w:rFonts w:ascii="Wide Latin" w:hAnsi="Wide Latin"/>
      </w:rPr>
      <w:tab/>
    </w:r>
    <w:r>
      <w:rPr>
        <w:rFonts w:ascii="Wide Latin" w:hAnsi="Wide Latin"/>
      </w:rPr>
      <w:tab/>
    </w:r>
    <w:r>
      <w:rPr>
        <w:rFonts w:ascii="Wide Latin" w:hAnsi="Wide Latin"/>
      </w:rPr>
      <w:tab/>
    </w:r>
  </w:p>
  <w:p w14:paraId="25E22047" w14:textId="22D3C3D0" w:rsidR="00067300" w:rsidRDefault="0024365D">
    <w:pPr>
      <w:pStyle w:val="Kopfzeile"/>
    </w:pPr>
    <w:r>
      <w:rPr>
        <w:noProof/>
      </w:rPr>
      <w:drawing>
        <wp:inline distT="0" distB="0" distL="0" distR="0" wp14:anchorId="68A0245F" wp14:editId="37070190">
          <wp:extent cx="5943600" cy="7715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1006"/>
    <w:multiLevelType w:val="hybridMultilevel"/>
    <w:tmpl w:val="F13C5500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A6A39DE"/>
    <w:multiLevelType w:val="hybridMultilevel"/>
    <w:tmpl w:val="9126E3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1FF9"/>
    <w:multiLevelType w:val="hybridMultilevel"/>
    <w:tmpl w:val="92343A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7732">
    <w:abstractNumId w:val="1"/>
  </w:num>
  <w:num w:numId="2" w16cid:durableId="1702238854">
    <w:abstractNumId w:val="2"/>
  </w:num>
  <w:num w:numId="3" w16cid:durableId="97564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EF"/>
    <w:rsid w:val="00067300"/>
    <w:rsid w:val="0024365D"/>
    <w:rsid w:val="00432CEF"/>
    <w:rsid w:val="009F0ACA"/>
    <w:rsid w:val="00BA56C2"/>
    <w:rsid w:val="00D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0CA845"/>
  <w15:chartTrackingRefBased/>
  <w15:docId w15:val="{3781D91A-3E11-459C-B3CB-8FF1EC47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zezusammenhalten">
    <w:name w:val="Absätze zusammenhalten"/>
    <w:basedOn w:val="Textkrper"/>
    <w:pPr>
      <w:keepNext/>
      <w:spacing w:after="160"/>
    </w:pPr>
  </w:style>
  <w:style w:type="paragraph" w:styleId="Textkrper">
    <w:name w:val="Body Text"/>
    <w:basedOn w:val="Standard"/>
    <w:semiHidden/>
    <w:pPr>
      <w:jc w:val="both"/>
    </w:pPr>
    <w:rPr>
      <w:rFonts w:ascii="Tahoma" w:hAnsi="Tahoma"/>
    </w:rPr>
  </w:style>
  <w:style w:type="paragraph" w:customStyle="1" w:styleId="Absender">
    <w:name w:val="Absender"/>
    <w:basedOn w:val="Standard"/>
    <w:next w:val="Standard"/>
    <w:pPr>
      <w:keepLines/>
      <w:jc w:val="right"/>
    </w:pPr>
  </w:style>
  <w:style w:type="paragraph" w:styleId="Umschlagabsenderadresse">
    <w:name w:val="envelope return"/>
    <w:basedOn w:val="Standard"/>
    <w:semiHidden/>
    <w:pPr>
      <w:keepLines/>
      <w:jc w:val="righ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dresse">
    <w:name w:val="Adresse"/>
    <w:basedOn w:val="Textkrper"/>
    <w:pPr>
      <w:keepLines/>
      <w:ind w:right="4320"/>
    </w:pPr>
  </w:style>
  <w:style w:type="paragraph" w:customStyle="1" w:styleId="AdresseBrief">
    <w:name w:val="Adresse Brief"/>
    <w:basedOn w:val="Adresse"/>
    <w:next w:val="Standard"/>
  </w:style>
  <w:style w:type="paragraph" w:customStyle="1" w:styleId="Anlagen">
    <w:name w:val="Anlage(n)"/>
    <w:basedOn w:val="Textkrper"/>
    <w:next w:val="Textkrper"/>
    <w:pPr>
      <w:keepLines/>
      <w:spacing w:after="160"/>
    </w:p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character" w:styleId="Kommentarzeichen">
    <w:name w:val="annotation reference"/>
    <w:semiHidden/>
    <w:rPr>
      <w:sz w:val="16"/>
    </w:rPr>
  </w:style>
  <w:style w:type="paragraph" w:styleId="Anrede">
    <w:name w:val="Salutation"/>
    <w:basedOn w:val="Textkrper"/>
    <w:next w:val="Standard"/>
    <w:semiHidden/>
    <w:pPr>
      <w:spacing w:before="160" w:after="32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semiHidden/>
    <w:pPr>
      <w:spacing w:after="16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styleId="Liste">
    <w:name w:val="List"/>
    <w:basedOn w:val="Textkrper"/>
    <w:semiHidden/>
    <w:pPr>
      <w:tabs>
        <w:tab w:val="left" w:pos="720"/>
      </w:tabs>
      <w:spacing w:after="80"/>
      <w:ind w:left="720" w:hanging="360"/>
    </w:pPr>
  </w:style>
  <w:style w:type="paragraph" w:styleId="Aufzhlungszeichen2">
    <w:name w:val="List Bullet 2"/>
    <w:basedOn w:val="Aufzhlungszeichen"/>
    <w:semiHidden/>
    <w:pPr>
      <w:ind w:left="1080"/>
    </w:pPr>
  </w:style>
  <w:style w:type="paragraph" w:styleId="Aufzhlungszeichen3">
    <w:name w:val="List Bullet 3"/>
    <w:basedOn w:val="Aufzhlungszeichen"/>
    <w:semiHidden/>
    <w:pPr>
      <w:ind w:left="1440"/>
    </w:pPr>
  </w:style>
  <w:style w:type="paragraph" w:styleId="Aufzhlungszeichen4">
    <w:name w:val="List Bullet 4"/>
    <w:basedOn w:val="Aufzhlungszeichen"/>
    <w:semiHidden/>
    <w:pPr>
      <w:ind w:left="1800"/>
    </w:pPr>
  </w:style>
  <w:style w:type="paragraph" w:styleId="Aufzhlungszeichen5">
    <w:name w:val="List Bullet 5"/>
    <w:basedOn w:val="Aufzhlungszeichen"/>
    <w:semiHidden/>
    <w:pPr>
      <w:ind w:left="2160"/>
    </w:pPr>
  </w:style>
  <w:style w:type="paragraph" w:customStyle="1" w:styleId="Basis-Fuzeile">
    <w:name w:val="Basis-Fußzeil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berschrift">
    <w:name w:val="Basis-Überschrift"/>
    <w:basedOn w:val="Standard"/>
    <w:next w:val="Textkrper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Betreff">
    <w:name w:val="Betreff"/>
    <w:basedOn w:val="Textkrper"/>
    <w:next w:val="Textkrper"/>
    <w:pPr>
      <w:spacing w:before="160"/>
    </w:pPr>
    <w:rPr>
      <w:i/>
      <w:u w:val="single"/>
    </w:rPr>
  </w:style>
  <w:style w:type="paragraph" w:customStyle="1" w:styleId="Blockzitat">
    <w:name w:val="Blockzitat"/>
    <w:basedOn w:val="Textkrper"/>
    <w:pPr>
      <w:keepLines/>
      <w:spacing w:after="160"/>
      <w:ind w:left="720" w:right="720"/>
    </w:pPr>
    <w:rPr>
      <w:i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Datum">
    <w:name w:val="Date"/>
    <w:basedOn w:val="Textkrper"/>
    <w:next w:val="Standard"/>
    <w:semiHidden/>
    <w:pPr>
      <w:spacing w:after="240"/>
      <w:jc w:val="right"/>
    </w:pPr>
  </w:style>
  <w:style w:type="character" w:customStyle="1" w:styleId="Einleitung">
    <w:name w:val="Einleitung"/>
    <w:rPr>
      <w:b/>
      <w:i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Firmenname">
    <w:name w:val="Firmenname"/>
    <w:basedOn w:val="Textkrper"/>
    <w:next w:val="Standard"/>
    <w:pPr>
      <w:spacing w:before="80"/>
      <w:jc w:val="right"/>
    </w:pPr>
    <w:rPr>
      <w:b/>
    </w:rPr>
  </w:style>
  <w:style w:type="paragraph" w:customStyle="1" w:styleId="Firmenunterschrift">
    <w:name w:val="Firmenunterschrift"/>
    <w:basedOn w:val="Unterschrift"/>
    <w:next w:val="Standard"/>
    <w:pPr>
      <w:keepLines/>
      <w:spacing w:after="160"/>
    </w:pPr>
    <w:rPr>
      <w:b/>
    </w:rPr>
  </w:style>
  <w:style w:type="paragraph" w:styleId="Unterschrift">
    <w:name w:val="Signature"/>
    <w:basedOn w:val="Textkrper"/>
    <w:semiHidden/>
    <w:pPr>
      <w:keepNext/>
    </w:pPr>
  </w:style>
  <w:style w:type="paragraph" w:styleId="Funotentext">
    <w:name w:val="footnote text"/>
    <w:basedOn w:val="Basis-Fuzeile"/>
    <w:semiHidden/>
    <w:pPr>
      <w:spacing w:after="120"/>
    </w:p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semiHidden/>
    <w:pPr>
      <w:keepLines/>
      <w:tabs>
        <w:tab w:val="center" w:pos="4320"/>
        <w:tab w:val="right" w:pos="8640"/>
      </w:tabs>
    </w:pPr>
  </w:style>
  <w:style w:type="paragraph" w:customStyle="1" w:styleId="FuzeileAnfang">
    <w:name w:val="Fußzeile Anfang"/>
    <w:basedOn w:val="Fuzeile"/>
    <w:pPr>
      <w:tabs>
        <w:tab w:val="clear" w:pos="8640"/>
      </w:tabs>
      <w:jc w:val="center"/>
    </w:pPr>
  </w:style>
  <w:style w:type="paragraph" w:customStyle="1" w:styleId="Fuzeilegerade">
    <w:name w:val="Fußzeile gerade"/>
    <w:basedOn w:val="Fuzeile"/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Grafik">
    <w:name w:val="Grafik"/>
    <w:basedOn w:val="Textkrper"/>
    <w:next w:val="Beschriftung"/>
    <w:pPr>
      <w:keepNext/>
      <w:spacing w:after="160"/>
    </w:pPr>
  </w:style>
  <w:style w:type="paragraph" w:styleId="Gruformel">
    <w:name w:val="Closing"/>
    <w:basedOn w:val="Textkrper"/>
    <w:semiHidden/>
    <w:pPr>
      <w:keepNext/>
      <w:spacing w:after="160"/>
    </w:pPr>
  </w:style>
  <w:style w:type="character" w:styleId="Hervorhebung">
    <w:name w:val="Emphasis"/>
    <w:qFormat/>
    <w:rPr>
      <w:i/>
    </w:rPr>
  </w:style>
  <w:style w:type="character" w:customStyle="1" w:styleId="Hochgestellt">
    <w:name w:val="Hochgestellt"/>
    <w:rPr>
      <w:vertAlign w:val="superscript"/>
    </w:rPr>
  </w:style>
  <w:style w:type="paragraph" w:customStyle="1" w:styleId="IhreZeichenUnsereZeichen">
    <w:name w:val="Ihre Zeichen/Unsere Zeichen"/>
    <w:basedOn w:val="Textkrper"/>
    <w:next w:val="IhreZeichenEingabe"/>
    <w:pPr>
      <w:keepNext/>
      <w:keepLines/>
      <w:tabs>
        <w:tab w:val="left" w:pos="2835"/>
        <w:tab w:val="left" w:pos="5670"/>
      </w:tabs>
    </w:pPr>
    <w:rPr>
      <w:sz w:val="12"/>
    </w:rPr>
  </w:style>
  <w:style w:type="paragraph" w:styleId="Kopfzeile">
    <w:name w:val="header"/>
    <w:basedOn w:val="Standard"/>
    <w:semiHidden/>
    <w:pPr>
      <w:keepLines/>
      <w:tabs>
        <w:tab w:val="center" w:pos="4320"/>
        <w:tab w:val="right" w:pos="8640"/>
      </w:tabs>
    </w:pPr>
  </w:style>
  <w:style w:type="paragraph" w:customStyle="1" w:styleId="KopfzeileAnfang">
    <w:name w:val="Kopfzeile Anfang"/>
    <w:basedOn w:val="Kopfzeile"/>
    <w:pPr>
      <w:tabs>
        <w:tab w:val="clear" w:pos="8640"/>
      </w:tabs>
      <w:jc w:val="center"/>
    </w:pPr>
  </w:style>
  <w:style w:type="paragraph" w:customStyle="1" w:styleId="Kopfzeilegerade">
    <w:name w:val="Kopfzeile gerade"/>
    <w:basedOn w:val="Kopfzeile"/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Kopiean">
    <w:name w:val="Kopie an"/>
    <w:basedOn w:val="Textkrper"/>
    <w:pPr>
      <w:keepLines/>
      <w:spacing w:after="160"/>
      <w:ind w:left="360" w:hanging="360"/>
    </w:pPr>
  </w:style>
  <w:style w:type="paragraph" w:styleId="Liste2">
    <w:name w:val="List 2"/>
    <w:basedOn w:val="Liste"/>
    <w:semiHidden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semiHidden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semiHidden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semiHidden/>
    <w:pPr>
      <w:tabs>
        <w:tab w:val="clear" w:pos="720"/>
        <w:tab w:val="left" w:pos="2160"/>
      </w:tabs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fortsetzung">
    <w:name w:val="List Continue"/>
    <w:basedOn w:val="Liste"/>
    <w:semiHidden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semiHidden/>
    <w:pPr>
      <w:ind w:left="1080"/>
    </w:pPr>
  </w:style>
  <w:style w:type="paragraph" w:styleId="Listenfortsetzung3">
    <w:name w:val="List Continue 3"/>
    <w:basedOn w:val="Listenfortsetzung"/>
    <w:semiHidden/>
    <w:pPr>
      <w:ind w:left="1440"/>
    </w:pPr>
  </w:style>
  <w:style w:type="paragraph" w:styleId="Listenfortsetzung4">
    <w:name w:val="List Continue 4"/>
    <w:basedOn w:val="Listenfortsetzung"/>
    <w:semiHidden/>
    <w:pPr>
      <w:ind w:left="1800"/>
    </w:pPr>
  </w:style>
  <w:style w:type="paragraph" w:styleId="Listenfortsetzung5">
    <w:name w:val="List Continue 5"/>
    <w:basedOn w:val="Listenfortsetzung"/>
    <w:semiHidden/>
    <w:pPr>
      <w:ind w:left="2160"/>
    </w:pPr>
  </w:style>
  <w:style w:type="paragraph" w:styleId="Listennummer">
    <w:name w:val="List Number"/>
    <w:basedOn w:val="Liste"/>
    <w:semiHidden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semiHidden/>
    <w:pPr>
      <w:ind w:left="1080"/>
    </w:pPr>
  </w:style>
  <w:style w:type="paragraph" w:styleId="Listennummer3">
    <w:name w:val="List Number 3"/>
    <w:basedOn w:val="Listennummer"/>
    <w:semiHidden/>
    <w:pPr>
      <w:ind w:left="1440"/>
    </w:pPr>
  </w:style>
  <w:style w:type="paragraph" w:styleId="Listennummer4">
    <w:name w:val="List Number 4"/>
    <w:basedOn w:val="Listennummer"/>
    <w:semiHidden/>
    <w:pPr>
      <w:ind w:left="1800"/>
    </w:pPr>
  </w:style>
  <w:style w:type="paragraph" w:styleId="Listennummer5">
    <w:name w:val="List Number 5"/>
    <w:basedOn w:val="Listennummer"/>
    <w:semiHidden/>
    <w:pPr>
      <w:ind w:left="2160"/>
    </w:pPr>
  </w:style>
  <w:style w:type="paragraph" w:styleId="Makrotext">
    <w:name w:val="macro"/>
    <w:basedOn w:val="Textkrper"/>
    <w:semiHidden/>
    <w:pPr>
      <w:ind w:left="720" w:hanging="720"/>
    </w:pPr>
    <w:rPr>
      <w:rFonts w:ascii="Courier New" w:hAnsi="Courier New"/>
      <w:b/>
      <w:sz w:val="24"/>
    </w:rPr>
  </w:style>
  <w:style w:type="paragraph" w:styleId="Nachrichtenkopf">
    <w:name w:val="Message Header"/>
    <w:basedOn w:val="Textkrper"/>
    <w:semiHidden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character" w:styleId="Seitenzahl">
    <w:name w:val="page number"/>
    <w:semiHidden/>
    <w:rPr>
      <w:b/>
    </w:rPr>
  </w:style>
  <w:style w:type="paragraph" w:styleId="Textkrper-Zeileneinzug">
    <w:name w:val="Body Text Indent"/>
    <w:basedOn w:val="Textkrper"/>
    <w:semiHidden/>
    <w:pPr>
      <w:ind w:left="360"/>
    </w:pPr>
  </w:style>
  <w:style w:type="paragraph" w:customStyle="1" w:styleId="TiteldesUnterzeichners">
    <w:name w:val="Titel des Unterzeichners"/>
    <w:basedOn w:val="Unterschrift"/>
    <w:next w:val="IhreZeichenUnsereZeichen"/>
    <w:pPr>
      <w:spacing w:after="160"/>
    </w:pPr>
  </w:style>
  <w:style w:type="paragraph" w:styleId="Umschlagadresse">
    <w:name w:val="envelope address"/>
    <w:basedOn w:val="Adresse"/>
    <w:semiHidden/>
    <w:pPr>
      <w:ind w:left="3240" w:right="0"/>
    </w:pPr>
  </w:style>
  <w:style w:type="paragraph" w:customStyle="1" w:styleId="Unterzeichner">
    <w:name w:val="Unterzeichner"/>
    <w:basedOn w:val="Unterschrift"/>
    <w:next w:val="TiteldesUnterzeichners"/>
    <w:pPr>
      <w:spacing w:before="480"/>
    </w:pPr>
  </w:style>
  <w:style w:type="character" w:styleId="Zeilennummer">
    <w:name w:val="line number"/>
    <w:semiHidden/>
    <w:rPr>
      <w:rFonts w:ascii="Arial" w:hAnsi="Arial"/>
      <w:sz w:val="18"/>
    </w:rPr>
  </w:style>
  <w:style w:type="paragraph" w:customStyle="1" w:styleId="ZuHndenvon">
    <w:name w:val="Zu Händen von"/>
    <w:basedOn w:val="Textkrper"/>
    <w:next w:val="Standard"/>
    <w:pPr>
      <w:spacing w:before="160"/>
    </w:pPr>
    <w:rPr>
      <w:b/>
      <w:i/>
    </w:rPr>
  </w:style>
  <w:style w:type="paragraph" w:customStyle="1" w:styleId="IhreZeichenEingabe">
    <w:name w:val="Ihre Zeichen Eingabe"/>
    <w:basedOn w:val="Textkrper"/>
    <w:next w:val="Textkrper"/>
    <w:pPr>
      <w:tabs>
        <w:tab w:val="left" w:pos="2835"/>
        <w:tab w:val="left" w:pos="5670"/>
      </w:tabs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  <w:lang w:val="en-US"/>
    </w:rPr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  <w:rPr>
      <w:lang w:val="en-US"/>
    </w:rPr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  <w:rPr>
      <w:lang w:val="en-US"/>
    </w:rPr>
  </w:style>
  <w:style w:type="character" w:customStyle="1" w:styleId="text617">
    <w:name w:val="text617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mp@strlsc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WINWORD\VORLAGEN\BR_DAM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BR_DAMP.DOT</Template>
  <TotalTime>0</TotalTime>
  <Pages>3</Pages>
  <Words>605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DAMP; Gustavstraße 8; 63571 Gelnhausen</vt:lpstr>
    </vt:vector>
  </TitlesOfParts>
  <Company> </Company>
  <LinksUpToDate>false</LinksUpToDate>
  <CharactersWithSpaces>4414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mailto:damp@strlsch.de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DAMP; Gustavstraße 8; 63571 Gelnhausen</dc:title>
  <dc:subject/>
  <dc:creator>Hartmut Sumpf</dc:creator>
  <cp:keywords/>
  <dc:description/>
  <cp:lastModifiedBy>Hartmut Sumpf</cp:lastModifiedBy>
  <cp:revision>2</cp:revision>
  <cp:lastPrinted>2010-12-09T09:02:00Z</cp:lastPrinted>
  <dcterms:created xsi:type="dcterms:W3CDTF">2024-09-05T11:44:00Z</dcterms:created>
  <dcterms:modified xsi:type="dcterms:W3CDTF">2024-09-05T11:44:00Z</dcterms:modified>
</cp:coreProperties>
</file>